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38" w:rsidRDefault="00F06238" w:rsidP="00F0623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8F">
        <w:rPr>
          <w:rFonts w:ascii="Times New Roman" w:hAnsi="Times New Roman" w:cs="Times New Roman"/>
          <w:b/>
          <w:sz w:val="28"/>
          <w:szCs w:val="28"/>
        </w:rPr>
        <w:t>ВОПРОС</w:t>
      </w:r>
      <w:r w:rsidR="003E5FC3">
        <w:rPr>
          <w:rFonts w:ascii="Times New Roman" w:hAnsi="Times New Roman" w:cs="Times New Roman"/>
          <w:b/>
          <w:sz w:val="28"/>
          <w:szCs w:val="28"/>
        </w:rPr>
        <w:t>Ы</w:t>
      </w:r>
      <w:r w:rsidRPr="009A2E8F">
        <w:rPr>
          <w:rFonts w:ascii="Times New Roman" w:hAnsi="Times New Roman" w:cs="Times New Roman"/>
          <w:b/>
          <w:sz w:val="28"/>
          <w:szCs w:val="28"/>
        </w:rPr>
        <w:t xml:space="preserve"> ДЛЯ ПОДГОТОВКИ К ЗАЧЕТУ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«ПРАВОВЕДЕНИЕ»</w:t>
      </w:r>
    </w:p>
    <w:p w:rsidR="00F06238" w:rsidRPr="009A2E8F" w:rsidRDefault="00F06238" w:rsidP="00F062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Признаки государства, его функции и формы. Концепция правового государства.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права, его система. Источники права.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Виды нормативных правовых актов Республики Беларусь. Их действие во времени, пространстве и по кругу лиц.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и функции конституции.  Конституция Республики Беларусь, ее роль в белорусском государстве. Ее действие и порядок изменения.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Конституционный строй Республики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Правовой статус личности в Республике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избирательной системы. Референдум.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Глава государства – Президент Республики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Законодательная власть – Парламент (Национальное собрание Республики Беларусь).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Исполнительная власть – Правительство (Совет Министров Республики Беларусь). Местное управление и самоуправление в Республике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Судебная система Республики Беларусь (общие, хозяйственные и Конституционный Суд Республики Беларусь).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Надзорные органы (прокуратура и Комитет государственного контроля Республики Беларусь). Правоохранительные органы.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Органы юстиции, адвокатура, нотариат.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административного права и административных правоотношений, их особенности.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Субъекты административного права. Система органов государственного управления.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Основные черты административной ответственности.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дминистративное правонарушение, его</w:t>
      </w:r>
      <w:r w:rsidRPr="009A2E8F">
        <w:rPr>
          <w:rFonts w:ascii="Times New Roman" w:hAnsi="Times New Roman" w:cs="Times New Roman"/>
          <w:sz w:val="28"/>
          <w:szCs w:val="28"/>
        </w:rPr>
        <w:t xml:space="preserve"> признаки. Состав административного правонарушения.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уголовного права. Уголовный закон.</w:t>
      </w:r>
    </w:p>
    <w:p w:rsidR="00F06238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и признаки преступления. Состав преступления.</w:t>
      </w:r>
    </w:p>
    <w:p w:rsidR="00F06238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коррупционных преступлений.</w:t>
      </w:r>
    </w:p>
    <w:p w:rsidR="00F06238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наказания за коррупционные преступления.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противодействия коррупции.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Наказание и иные меры уголовной ответственности. Обстоятельства, исключающие преступность деяния, смягчающие и отягчающие вину.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Предмет и метод гражданского права. Гражданские правоотношения.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Физические лица как субъекты гражданского права. Их правосубъектность.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Объявления гражданина умершим, признание безвестно отсутствующим. Основания ограничения и лишения дееспособности граждан.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Юридические лица как субъекты гражданского права. Их правосубъектность.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Право собственности и иные вещные права (понятие, формы, защита).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Право собственности (основания приобретения и прекращения).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Обязательства (понятие, содержание, виды, исполнение).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Обязательства и обеспечение их исполнения (способы обеспечения исполнения, прекращение).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lastRenderedPageBreak/>
        <w:t>Понятие, виды и формы сделок. Недействительность сделок.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Основные положения о гражданско-правовом договоре (понятие, содержание, форма).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Основные положения о гражданско-правовом договоре (порядок заключения, изменения, расторжения).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Понятие, основания, формы и виды гражданско-правовой ответственности.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Наследование по закону (основания и порядок).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Наследование по завещанию (основания и порядок).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Финансовое право Республики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Жилищное право Республики Беларусь.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Основные понятия семейного права. Порядок и условия заключения брака. Брачный договор.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</w:t>
      </w:r>
      <w:r w:rsidRPr="009A2E8F">
        <w:rPr>
          <w:rFonts w:ascii="Times New Roman" w:hAnsi="Times New Roman" w:cs="Times New Roman"/>
          <w:sz w:val="28"/>
          <w:szCs w:val="28"/>
        </w:rPr>
        <w:t xml:space="preserve"> брака. Раздел имущества при </w:t>
      </w:r>
      <w:r>
        <w:rPr>
          <w:rFonts w:ascii="Times New Roman" w:hAnsi="Times New Roman" w:cs="Times New Roman"/>
          <w:sz w:val="28"/>
          <w:szCs w:val="28"/>
        </w:rPr>
        <w:t>расторжении</w:t>
      </w:r>
      <w:r w:rsidRPr="009A2E8F">
        <w:rPr>
          <w:rFonts w:ascii="Times New Roman" w:hAnsi="Times New Roman" w:cs="Times New Roman"/>
          <w:sz w:val="28"/>
          <w:szCs w:val="28"/>
        </w:rPr>
        <w:t xml:space="preserve"> брака.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Алиментные обязательства.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Лишение и ограничение родительских прав. Усыновление.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и источники трудового права. Понятие и стороны трудового договора.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Форма и содержание трудового договора.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Порядок заключения трудового договора.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Контракт как разновидность трудового договора.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Изменение трудового договора (перевод, перемещение, изменение существенных условий труда).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Прекращение трудового договора (контракта) по инициативе работника (основания, порядок).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Прекращение трудового договора (контракта) по инициативе нанимателя (основания, порядок).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Прекращение трудового договора (контракта) по обстоятельствам, независящим от воли сторон (основания, порядок).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Время отдыха. Отпуска.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Трудовая дисциплина, дисциплинарная ответственность.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Рассмотрение индивидуальных трудовых споров.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Понятие социального партнерства. Заключение коллективных договоров (соглашений).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Надзор и контроль за соблюдением законодательства о труде. Ответственность за его нарушение.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>Пенсионное обеспечение в Республике Беларусь.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Понятие и источники экологического права. Концепция государственной политики Республики Беларусь. Государственное управление в области природопользования и охраны окружающей среды.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Экологические права граждан Республики Беларусь. Право собственности на компоненты природной среды. Понятие и виды права природопользования.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использования и охраны компонентов природной среды и природных объектов (земель, недр, вод, лесов, растительного и животного мира, атмосферного воздуха, озонового слоя и климата). </w:t>
      </w:r>
    </w:p>
    <w:p w:rsidR="00F06238" w:rsidRPr="009A2E8F" w:rsidRDefault="00F06238" w:rsidP="00F062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8F">
        <w:rPr>
          <w:rFonts w:ascii="Times New Roman" w:hAnsi="Times New Roman" w:cs="Times New Roman"/>
          <w:sz w:val="28"/>
          <w:szCs w:val="28"/>
        </w:rPr>
        <w:lastRenderedPageBreak/>
        <w:t xml:space="preserve">Правовые формы использования земель (право частной собственности на землю; право пожизненного наследуемого землевладения; право землепользования; сервитут; аренда; концессия). 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Возникновение авторского права, срок охраны личных неимущественных прав авторов.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Срок действия исключительного права на произведение.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Переход произведения в общественное достояние.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Ограничения исключительных прав на исполнения, фонограммы, передачи организаций эфирного или кабельного вещания.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Коллективное управление имущественными правами авторов и иных правообладателей.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Условия предоставления правовой охраны объектам промышленной собственности.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sz w:val="28"/>
          <w:szCs w:val="28"/>
        </w:rPr>
        <w:t>Выдача охранных документов.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bCs/>
          <w:sz w:val="28"/>
          <w:szCs w:val="28"/>
        </w:rPr>
        <w:t>Договор о создании и использовании результатов интеллектуальной деятельности: понятие, предмет, содержание, форма.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bCs/>
          <w:sz w:val="28"/>
          <w:szCs w:val="28"/>
        </w:rPr>
        <w:t>Особенности заключения договора о создании и использовании результатов интеллектуальной деятельности в сфере авторского права и смежных прав.</w:t>
      </w:r>
    </w:p>
    <w:p w:rsidR="00F06238" w:rsidRPr="00620EE0" w:rsidRDefault="00F06238" w:rsidP="00F06238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EE0">
        <w:rPr>
          <w:rFonts w:ascii="Times New Roman" w:hAnsi="Times New Roman" w:cs="Times New Roman"/>
          <w:bCs/>
          <w:sz w:val="28"/>
          <w:szCs w:val="28"/>
        </w:rPr>
        <w:t>Договор уступки исключительного права: понятие, предмет, содержание, форма.</w:t>
      </w:r>
    </w:p>
    <w:p w:rsidR="003D2742" w:rsidRDefault="003D2742" w:rsidP="00F06238">
      <w:pPr>
        <w:tabs>
          <w:tab w:val="left" w:pos="993"/>
        </w:tabs>
        <w:spacing w:after="0" w:line="240" w:lineRule="auto"/>
        <w:ind w:firstLine="567"/>
        <w:jc w:val="both"/>
      </w:pPr>
    </w:p>
    <w:sectPr w:rsidR="003D2742" w:rsidSect="00F06238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C1"/>
    <w:multiLevelType w:val="hybridMultilevel"/>
    <w:tmpl w:val="9F52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8"/>
    <w:rsid w:val="003D2742"/>
    <w:rsid w:val="003E5FC3"/>
    <w:rsid w:val="00F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Л. Автушко</cp:lastModifiedBy>
  <cp:revision>2</cp:revision>
  <dcterms:created xsi:type="dcterms:W3CDTF">2021-09-09T06:51:00Z</dcterms:created>
  <dcterms:modified xsi:type="dcterms:W3CDTF">2021-09-10T08:06:00Z</dcterms:modified>
</cp:coreProperties>
</file>